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AA" w:rsidRPr="007F727B" w:rsidRDefault="00121FAA" w:rsidP="00121FA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16"/>
          <w:szCs w:val="16"/>
        </w:rPr>
      </w:pPr>
      <w:r w:rsidRPr="007F727B">
        <w:rPr>
          <w:rFonts w:ascii="Times New Roman" w:eastAsia="HiddenHorzOCR" w:hAnsi="Times New Roman"/>
          <w:b/>
          <w:sz w:val="16"/>
          <w:szCs w:val="16"/>
        </w:rPr>
        <w:t>УДК 338</w:t>
      </w:r>
    </w:p>
    <w:p w:rsidR="00121FAA" w:rsidRPr="007F727B" w:rsidRDefault="00121FAA" w:rsidP="00121FA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16"/>
          <w:szCs w:val="16"/>
        </w:rPr>
      </w:pPr>
      <w:r w:rsidRPr="007F727B">
        <w:rPr>
          <w:rFonts w:ascii="Times New Roman" w:eastAsia="HiddenHorzOCR" w:hAnsi="Times New Roman"/>
          <w:b/>
          <w:sz w:val="16"/>
          <w:szCs w:val="16"/>
        </w:rPr>
        <w:t>ББК 65.290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sz w:val="20"/>
          <w:szCs w:val="20"/>
        </w:rPr>
      </w:pP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0"/>
          <w:szCs w:val="20"/>
        </w:rPr>
      </w:pPr>
      <w:r w:rsidRPr="00BB0425">
        <w:rPr>
          <w:rFonts w:ascii="Times New Roman" w:eastAsia="HiddenHorzOCR" w:hAnsi="Times New Roman"/>
          <w:b/>
          <w:sz w:val="20"/>
          <w:szCs w:val="20"/>
        </w:rPr>
        <w:t>Л.</w:t>
      </w:r>
      <w:r>
        <w:rPr>
          <w:rFonts w:ascii="Times New Roman" w:eastAsia="HiddenHorzOCR" w:hAnsi="Times New Roman"/>
          <w:b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b/>
          <w:sz w:val="20"/>
          <w:szCs w:val="20"/>
        </w:rPr>
        <w:t>Н. Майорова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0"/>
          <w:szCs w:val="20"/>
        </w:rPr>
      </w:pPr>
    </w:p>
    <w:p w:rsidR="00121FAA" w:rsidRPr="007F727B" w:rsidRDefault="00121FAA" w:rsidP="00121F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0"/>
          <w:szCs w:val="20"/>
        </w:rPr>
      </w:pPr>
      <w:r w:rsidRPr="00BB0425">
        <w:rPr>
          <w:rFonts w:ascii="Times New Roman" w:eastAsia="HiddenHorzOCR" w:hAnsi="Times New Roman"/>
          <w:b/>
          <w:sz w:val="20"/>
          <w:szCs w:val="20"/>
        </w:rPr>
        <w:t>ПРОБЛЕМЫ</w:t>
      </w:r>
      <w:r w:rsidRPr="007F727B">
        <w:rPr>
          <w:rFonts w:ascii="Times New Roman" w:eastAsia="HiddenHorzOCR" w:hAnsi="Times New Roman"/>
          <w:b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b/>
          <w:sz w:val="20"/>
          <w:szCs w:val="20"/>
        </w:rPr>
        <w:t>ИННОВАЦИОННОГО</w:t>
      </w:r>
      <w:r w:rsidRPr="007F727B">
        <w:rPr>
          <w:rFonts w:ascii="Times New Roman" w:eastAsia="HiddenHorzOCR" w:hAnsi="Times New Roman"/>
          <w:b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b/>
          <w:sz w:val="20"/>
          <w:szCs w:val="20"/>
        </w:rPr>
        <w:t>МЕНЕДЖМЕНТА</w:t>
      </w:r>
      <w:r w:rsidRPr="007F727B">
        <w:rPr>
          <w:rFonts w:ascii="Times New Roman" w:eastAsia="HiddenHorzOCR" w:hAnsi="Times New Roman"/>
          <w:b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b/>
          <w:sz w:val="20"/>
          <w:szCs w:val="20"/>
        </w:rPr>
        <w:t>ОБРАЗОВАНИЯ</w:t>
      </w:r>
    </w:p>
    <w:p w:rsidR="00121FAA" w:rsidRPr="007F727B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20"/>
          <w:szCs w:val="20"/>
        </w:rPr>
      </w:pPr>
    </w:p>
    <w:p w:rsidR="00121FAA" w:rsidRPr="007F727B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pacing w:val="-2"/>
          <w:sz w:val="20"/>
          <w:szCs w:val="20"/>
        </w:rPr>
      </w:pPr>
      <w:r w:rsidRPr="007F727B">
        <w:rPr>
          <w:rFonts w:ascii="Times New Roman" w:eastAsia="HiddenHorzOCR" w:hAnsi="Times New Roman"/>
          <w:b/>
          <w:i/>
          <w:sz w:val="20"/>
          <w:szCs w:val="20"/>
        </w:rPr>
        <w:t>Аннотация</w:t>
      </w:r>
      <w:r>
        <w:rPr>
          <w:rFonts w:ascii="Times New Roman" w:eastAsia="HiddenHorzOCR" w:hAnsi="Times New Roman"/>
          <w:b/>
          <w:i/>
          <w:sz w:val="20"/>
          <w:szCs w:val="20"/>
        </w:rPr>
        <w:t>.</w:t>
      </w:r>
      <w:r w:rsidRPr="00BB0425">
        <w:rPr>
          <w:rFonts w:ascii="Times New Roman" w:eastAsia="HiddenHorzOCR" w:hAnsi="Times New Roman"/>
          <w:b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sz w:val="20"/>
          <w:szCs w:val="20"/>
        </w:rPr>
        <w:t>В статье представлен анализ перспектив дальнейшего развития менеджме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та образования ориентированного на решение проблем инновационного развития и образования ч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7F727B">
        <w:rPr>
          <w:rFonts w:ascii="Times New Roman" w:eastAsia="HiddenHorzOCR" w:hAnsi="Times New Roman"/>
          <w:spacing w:val="-2"/>
          <w:sz w:val="20"/>
          <w:szCs w:val="20"/>
        </w:rPr>
        <w:t>ловека, на формирование навыков и компетенций, необходимых для инновационной деятельн</w:t>
      </w:r>
      <w:r w:rsidRPr="007F727B">
        <w:rPr>
          <w:rFonts w:ascii="Times New Roman" w:eastAsia="HiddenHorzOCR" w:hAnsi="Times New Roman"/>
          <w:spacing w:val="-2"/>
          <w:sz w:val="20"/>
          <w:szCs w:val="20"/>
        </w:rPr>
        <w:t>о</w:t>
      </w:r>
      <w:r w:rsidRPr="007F727B">
        <w:rPr>
          <w:rFonts w:ascii="Times New Roman" w:eastAsia="HiddenHorzOCR" w:hAnsi="Times New Roman"/>
          <w:spacing w:val="-2"/>
          <w:sz w:val="20"/>
          <w:szCs w:val="20"/>
        </w:rPr>
        <w:t>сти.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7F727B">
        <w:rPr>
          <w:rFonts w:ascii="Times New Roman" w:eastAsia="HiddenHorzOCR" w:hAnsi="Times New Roman"/>
          <w:b/>
          <w:i/>
          <w:sz w:val="20"/>
          <w:szCs w:val="20"/>
        </w:rPr>
        <w:t>Ключевые слова:</w:t>
      </w:r>
      <w:r w:rsidRPr="00BB0425">
        <w:rPr>
          <w:rFonts w:ascii="Times New Roman" w:eastAsia="HiddenHorzOCR" w:hAnsi="Times New Roman"/>
          <w:b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sz w:val="20"/>
          <w:szCs w:val="20"/>
        </w:rPr>
        <w:t>инновационный менеджмент образования, стратегия инновационного развития образования.</w:t>
      </w:r>
    </w:p>
    <w:p w:rsidR="00121FAA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0"/>
          <w:szCs w:val="20"/>
        </w:rPr>
      </w:pPr>
    </w:p>
    <w:p w:rsidR="00121FAA" w:rsidRPr="00121FAA" w:rsidRDefault="00121FAA" w:rsidP="00121F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0"/>
          <w:szCs w:val="20"/>
          <w:lang w:val="en-US"/>
        </w:rPr>
      </w:pPr>
      <w:r w:rsidRPr="00BB0425">
        <w:rPr>
          <w:rFonts w:ascii="Times New Roman" w:eastAsia="HiddenHorzOCR" w:hAnsi="Times New Roman"/>
          <w:b/>
          <w:sz w:val="20"/>
          <w:szCs w:val="20"/>
          <w:lang w:val="en-US"/>
        </w:rPr>
        <w:t>L</w:t>
      </w:r>
      <w:r w:rsidRPr="00121FAA">
        <w:rPr>
          <w:rFonts w:ascii="Times New Roman" w:eastAsia="HiddenHorzOCR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eastAsia="HiddenHorzOCR" w:hAnsi="Times New Roman"/>
          <w:b/>
          <w:sz w:val="20"/>
          <w:szCs w:val="20"/>
          <w:lang w:val="en-US"/>
        </w:rPr>
        <w:t>N</w:t>
      </w:r>
      <w:r w:rsidRPr="00121FAA">
        <w:rPr>
          <w:rFonts w:ascii="Times New Roman" w:eastAsia="HiddenHorzOCR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eastAsia="HiddenHorzOCR" w:hAnsi="Times New Roman"/>
          <w:b/>
          <w:sz w:val="20"/>
          <w:szCs w:val="20"/>
          <w:lang w:val="en-US"/>
        </w:rPr>
        <w:t>Mayorova</w:t>
      </w:r>
    </w:p>
    <w:p w:rsidR="00121FAA" w:rsidRPr="00121FAA" w:rsidRDefault="00121FAA" w:rsidP="00121FA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0"/>
          <w:szCs w:val="20"/>
          <w:lang w:val="en-US"/>
        </w:rPr>
      </w:pP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0"/>
          <w:szCs w:val="20"/>
          <w:lang w:val="en-US"/>
        </w:rPr>
      </w:pPr>
      <w:r w:rsidRPr="00BB0425">
        <w:rPr>
          <w:rStyle w:val="hps"/>
          <w:b/>
          <w:lang/>
        </w:rPr>
        <w:t>THE PROBLEMS</w:t>
      </w:r>
      <w:r w:rsidRPr="00BB0425">
        <w:rPr>
          <w:rStyle w:val="shorttext"/>
          <w:rFonts w:ascii="Times New Roman" w:hAnsi="Times New Roman"/>
          <w:b/>
          <w:sz w:val="20"/>
          <w:szCs w:val="20"/>
          <w:lang/>
        </w:rPr>
        <w:t xml:space="preserve"> </w:t>
      </w:r>
      <w:r w:rsidRPr="00BB0425">
        <w:rPr>
          <w:rStyle w:val="hps"/>
          <w:b/>
          <w:lang/>
        </w:rPr>
        <w:t>OF INNOVATIVE</w:t>
      </w:r>
      <w:r w:rsidRPr="00BB0425">
        <w:rPr>
          <w:rStyle w:val="shorttext"/>
          <w:rFonts w:ascii="Times New Roman" w:hAnsi="Times New Roman"/>
          <w:b/>
          <w:sz w:val="20"/>
          <w:szCs w:val="20"/>
          <w:lang/>
        </w:rPr>
        <w:t xml:space="preserve"> </w:t>
      </w:r>
      <w:r w:rsidRPr="00BB0425">
        <w:rPr>
          <w:rStyle w:val="hps"/>
          <w:b/>
          <w:lang/>
        </w:rPr>
        <w:t>MANAGEMENT</w:t>
      </w:r>
      <w:r w:rsidRPr="00BB0425">
        <w:rPr>
          <w:rStyle w:val="shorttext"/>
          <w:rFonts w:ascii="Times New Roman" w:hAnsi="Times New Roman"/>
          <w:b/>
          <w:sz w:val="20"/>
          <w:szCs w:val="20"/>
          <w:lang/>
        </w:rPr>
        <w:t xml:space="preserve"> OF </w:t>
      </w:r>
      <w:r w:rsidRPr="00BB0425">
        <w:rPr>
          <w:rStyle w:val="hps"/>
          <w:b/>
          <w:lang/>
        </w:rPr>
        <w:t>EDUCATION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20"/>
          <w:szCs w:val="20"/>
          <w:lang w:val="en-US"/>
        </w:rPr>
      </w:pP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BB0425">
        <w:rPr>
          <w:rStyle w:val="hps"/>
          <w:b/>
          <w:lang w:val="en-US"/>
        </w:rPr>
        <w:t>Abstract</w:t>
      </w:r>
      <w:r w:rsidRPr="007F727B">
        <w:rPr>
          <w:rStyle w:val="hps"/>
          <w:b/>
          <w:lang w:val="en-US"/>
        </w:rPr>
        <w:t xml:space="preserve">. </w:t>
      </w:r>
      <w:r w:rsidRPr="00BB0425">
        <w:rPr>
          <w:rStyle w:val="hps"/>
          <w:lang w:val="en-US"/>
        </w:rPr>
        <w:t>The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articl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deals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with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the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analysis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of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further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management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of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education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development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 w:val="en-US"/>
        </w:rPr>
        <w:t>oriented</w:t>
      </w:r>
      <w:r w:rsidRPr="007F727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sz w:val="20"/>
          <w:szCs w:val="20"/>
          <w:lang/>
        </w:rPr>
        <w:t>the</w:t>
      </w:r>
      <w:r w:rsidRPr="007F727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lang/>
        </w:rPr>
        <w:t>solving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/>
        </w:rPr>
        <w:t>problems</w:t>
      </w:r>
      <w:r w:rsidRPr="007F727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lang/>
        </w:rPr>
        <w:t>of</w:t>
      </w:r>
      <w:r w:rsidRPr="007F727B">
        <w:rPr>
          <w:rStyle w:val="hps"/>
          <w:lang w:val="en-US"/>
        </w:rPr>
        <w:t xml:space="preserve"> </w:t>
      </w:r>
      <w:r w:rsidRPr="00BB0425">
        <w:rPr>
          <w:rStyle w:val="hps"/>
          <w:lang/>
        </w:rPr>
        <w:t>person’s innovative development and</w:t>
      </w:r>
      <w:r w:rsidRPr="00BB0425">
        <w:rPr>
          <w:rFonts w:ascii="Times New Roman" w:hAnsi="Times New Roman"/>
          <w:sz w:val="20"/>
          <w:szCs w:val="20"/>
          <w:lang/>
        </w:rPr>
        <w:t xml:space="preserve"> </w:t>
      </w:r>
      <w:r w:rsidRPr="00BB0425">
        <w:rPr>
          <w:rStyle w:val="hps"/>
          <w:lang/>
        </w:rPr>
        <w:t>education, the</w:t>
      </w:r>
      <w:r w:rsidRPr="00BB0425">
        <w:rPr>
          <w:rFonts w:ascii="Times New Roman" w:hAnsi="Times New Roman"/>
          <w:sz w:val="20"/>
          <w:szCs w:val="20"/>
          <w:lang/>
        </w:rPr>
        <w:t xml:space="preserve"> </w:t>
      </w:r>
      <w:r w:rsidRPr="00BB0425">
        <w:rPr>
          <w:rStyle w:val="hps"/>
          <w:lang/>
        </w:rPr>
        <w:t>development of skills and</w:t>
      </w:r>
      <w:r w:rsidRPr="00BB0425">
        <w:rPr>
          <w:rFonts w:ascii="Times New Roman" w:hAnsi="Times New Roman"/>
          <w:sz w:val="20"/>
          <w:szCs w:val="20"/>
          <w:lang/>
        </w:rPr>
        <w:t xml:space="preserve"> </w:t>
      </w:r>
      <w:r w:rsidRPr="00BB0425">
        <w:rPr>
          <w:rStyle w:val="hps"/>
          <w:lang/>
        </w:rPr>
        <w:t>competencies necessary for innovation activities</w:t>
      </w:r>
      <w:r w:rsidRPr="00BB0425">
        <w:rPr>
          <w:rFonts w:ascii="Times New Roman" w:hAnsi="Times New Roman"/>
          <w:sz w:val="20"/>
          <w:szCs w:val="20"/>
          <w:lang/>
        </w:rPr>
        <w:t>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0"/>
          <w:szCs w:val="20"/>
          <w:lang w:val="en-US"/>
        </w:rPr>
      </w:pPr>
      <w:r w:rsidRPr="007F727B">
        <w:rPr>
          <w:rFonts w:ascii="Times New Roman" w:eastAsia="HiddenHorzOCR" w:hAnsi="Times New Roman"/>
          <w:b/>
          <w:i/>
          <w:sz w:val="20"/>
          <w:szCs w:val="20"/>
          <w:lang w:val="en-US"/>
        </w:rPr>
        <w:t>Keywords:</w:t>
      </w:r>
      <w:r w:rsidRPr="00BB0425">
        <w:rPr>
          <w:rFonts w:ascii="Times New Roman" w:eastAsia="HiddenHorzOCR" w:hAnsi="Times New Roman"/>
          <w:b/>
          <w:sz w:val="20"/>
          <w:szCs w:val="20"/>
          <w:lang w:val="en-US"/>
        </w:rPr>
        <w:t xml:space="preserve"> </w:t>
      </w:r>
      <w:r w:rsidRPr="00BB0425">
        <w:rPr>
          <w:rStyle w:val="hps"/>
          <w:lang/>
        </w:rPr>
        <w:t>innovative</w:t>
      </w:r>
      <w:r w:rsidRPr="00BB0425">
        <w:rPr>
          <w:rStyle w:val="shorttext"/>
          <w:rFonts w:ascii="Times New Roman" w:hAnsi="Times New Roman"/>
          <w:sz w:val="20"/>
          <w:szCs w:val="20"/>
          <w:lang/>
        </w:rPr>
        <w:t xml:space="preserve"> </w:t>
      </w:r>
      <w:r w:rsidRPr="00BB0425">
        <w:rPr>
          <w:rStyle w:val="hps"/>
          <w:lang/>
        </w:rPr>
        <w:t>management</w:t>
      </w:r>
      <w:r w:rsidRPr="00BB0425">
        <w:rPr>
          <w:rStyle w:val="shorttext"/>
          <w:rFonts w:ascii="Times New Roman" w:hAnsi="Times New Roman"/>
          <w:sz w:val="20"/>
          <w:szCs w:val="20"/>
          <w:lang/>
        </w:rPr>
        <w:t xml:space="preserve"> of </w:t>
      </w:r>
      <w:r w:rsidRPr="00BB0425">
        <w:rPr>
          <w:rStyle w:val="hps"/>
          <w:lang/>
        </w:rPr>
        <w:t>education, innovative development problems.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sz w:val="20"/>
          <w:szCs w:val="20"/>
          <w:lang w:val="en-US"/>
        </w:rPr>
      </w:pP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Реформы, проводимые в последние годы в различных областях российского общества, не обошли стороной научную и образовательную сферы.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 </w:t>
      </w:r>
      <w:r w:rsidRPr="00BB0425">
        <w:rPr>
          <w:rFonts w:ascii="Times New Roman" w:hAnsi="Times New Roman"/>
          <w:sz w:val="20"/>
          <w:szCs w:val="20"/>
        </w:rPr>
        <w:t xml:space="preserve">2005 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году были утверждены «Основные направления политики  Российской Федерации в области развития инновационной системы на период до </w:t>
      </w:r>
      <w:r w:rsidRPr="00BB0425">
        <w:rPr>
          <w:rFonts w:ascii="Times New Roman" w:hAnsi="Times New Roman"/>
          <w:sz w:val="20"/>
          <w:szCs w:val="20"/>
        </w:rPr>
        <w:t xml:space="preserve">2010 </w:t>
      </w:r>
      <w:r w:rsidRPr="00BB0425">
        <w:rPr>
          <w:rFonts w:ascii="Times New Roman" w:eastAsia="HiddenHorzOCR" w:hAnsi="Times New Roman"/>
          <w:sz w:val="20"/>
          <w:szCs w:val="20"/>
        </w:rPr>
        <w:t>года».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 </w:t>
      </w:r>
      <w:r w:rsidRPr="00BB0425">
        <w:rPr>
          <w:rFonts w:ascii="Times New Roman" w:hAnsi="Times New Roman"/>
          <w:sz w:val="20"/>
          <w:szCs w:val="20"/>
        </w:rPr>
        <w:t xml:space="preserve">2006 </w:t>
      </w:r>
      <w:r w:rsidRPr="00BB0425">
        <w:rPr>
          <w:rFonts w:ascii="Times New Roman" w:eastAsia="HiddenHorzOCR" w:hAnsi="Times New Roman"/>
          <w:sz w:val="20"/>
          <w:szCs w:val="20"/>
        </w:rPr>
        <w:t>году была принята «Стратегия развития науки и инноваций в Российской Федер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ции на период до </w:t>
      </w:r>
      <w:r w:rsidRPr="00BB0425">
        <w:rPr>
          <w:rFonts w:ascii="Times New Roman" w:hAnsi="Times New Roman"/>
          <w:sz w:val="20"/>
          <w:szCs w:val="20"/>
        </w:rPr>
        <w:t xml:space="preserve">2015 </w:t>
      </w:r>
      <w:r w:rsidRPr="00BB0425">
        <w:rPr>
          <w:rFonts w:ascii="Times New Roman" w:eastAsia="HiddenHorzOCR" w:hAnsi="Times New Roman"/>
          <w:sz w:val="20"/>
          <w:szCs w:val="20"/>
        </w:rPr>
        <w:t>года», посредством которой была предпринята попытка положить начало дин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мичному инновационному развитию. 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В рамках реализации мероприятий, определенных указанными документами, были зал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>жены основы национальной инновационной системы, определены меры по развитию сектора и</w:t>
      </w:r>
      <w:r w:rsidRPr="00BB0425">
        <w:rPr>
          <w:rFonts w:ascii="Times New Roman" w:eastAsia="HiddenHorzOCR" w:hAnsi="Times New Roman"/>
          <w:sz w:val="20"/>
          <w:szCs w:val="20"/>
        </w:rPr>
        <w:t>с</w:t>
      </w:r>
      <w:r w:rsidRPr="00BB0425">
        <w:rPr>
          <w:rFonts w:ascii="Times New Roman" w:eastAsia="HiddenHorzOCR" w:hAnsi="Times New Roman"/>
          <w:sz w:val="20"/>
          <w:szCs w:val="20"/>
        </w:rPr>
        <w:t>следований и разработок, формирования инновационной инфраструктуры, а также по модерниз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ции экономики на основе технологических инноваций.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За последние годы было значительно увеличено финансирование фундаментальной науки  за счет средств государства </w:t>
      </w:r>
      <w:r w:rsidRPr="00BB0425">
        <w:rPr>
          <w:rFonts w:ascii="Times New Roman" w:eastAsia="HiddenHorzOCR" w:hAnsi="Times New Roman"/>
          <w:i/>
          <w:sz w:val="20"/>
          <w:szCs w:val="20"/>
        </w:rPr>
        <w:t xml:space="preserve">(в </w:t>
      </w:r>
      <w:r w:rsidRPr="00BB0425">
        <w:rPr>
          <w:rFonts w:ascii="Times New Roman" w:hAnsi="Times New Roman"/>
          <w:i/>
          <w:sz w:val="20"/>
          <w:szCs w:val="20"/>
        </w:rPr>
        <w:t xml:space="preserve">1,6 </w:t>
      </w:r>
      <w:r w:rsidRPr="00BB0425">
        <w:rPr>
          <w:rFonts w:ascii="Times New Roman" w:eastAsia="HiddenHorzOCR" w:hAnsi="Times New Roman"/>
          <w:i/>
          <w:sz w:val="20"/>
          <w:szCs w:val="20"/>
        </w:rPr>
        <w:t xml:space="preserve">раза за период </w:t>
      </w:r>
      <w:r w:rsidRPr="00BB0425">
        <w:rPr>
          <w:rFonts w:ascii="Times New Roman" w:hAnsi="Times New Roman"/>
          <w:i/>
          <w:sz w:val="20"/>
          <w:szCs w:val="20"/>
        </w:rPr>
        <w:t>2006</w:t>
      </w:r>
      <w:r>
        <w:rPr>
          <w:rFonts w:ascii="Times New Roman" w:hAnsi="Times New Roman"/>
          <w:i/>
          <w:sz w:val="20"/>
          <w:szCs w:val="20"/>
        </w:rPr>
        <w:t>–</w:t>
      </w:r>
      <w:r w:rsidRPr="00BB0425">
        <w:rPr>
          <w:rFonts w:ascii="Times New Roman" w:hAnsi="Times New Roman"/>
          <w:i/>
          <w:sz w:val="20"/>
          <w:szCs w:val="20"/>
        </w:rPr>
        <w:t xml:space="preserve">2008 </w:t>
      </w:r>
      <w:r w:rsidRPr="00BB0425">
        <w:rPr>
          <w:rFonts w:ascii="Times New Roman" w:eastAsia="HiddenHorzOCR" w:hAnsi="Times New Roman"/>
          <w:i/>
          <w:sz w:val="20"/>
          <w:szCs w:val="20"/>
        </w:rPr>
        <w:t>годов)</w:t>
      </w:r>
      <w:r w:rsidRPr="00BB0425">
        <w:rPr>
          <w:rFonts w:ascii="Times New Roman" w:eastAsia="HiddenHorzOCR" w:hAnsi="Times New Roman"/>
          <w:b/>
          <w:i/>
          <w:sz w:val="20"/>
          <w:szCs w:val="20"/>
        </w:rPr>
        <w:t xml:space="preserve"> </w:t>
      </w:r>
      <w:r w:rsidRPr="00BB0425">
        <w:rPr>
          <w:rFonts w:ascii="Times New Roman" w:eastAsia="HiddenHorzOCR" w:hAnsi="Times New Roman"/>
          <w:sz w:val="20"/>
          <w:szCs w:val="20"/>
        </w:rPr>
        <w:t>и прикладных разработок, в том числе через механизм федеральных целевых программ и государственные фонды финансир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>вания науки</w:t>
      </w:r>
      <w:r w:rsidRPr="00BB0425">
        <w:rPr>
          <w:rStyle w:val="a7"/>
          <w:rFonts w:ascii="Times New Roman" w:eastAsia="HiddenHorzOCR" w:hAnsi="Times New Roman"/>
          <w:sz w:val="20"/>
          <w:szCs w:val="20"/>
        </w:rPr>
        <w:footnoteReference w:id="2"/>
      </w:r>
      <w:r w:rsidRPr="00BB0425">
        <w:rPr>
          <w:rFonts w:ascii="Times New Roman" w:eastAsia="HiddenHorzOCR" w:hAnsi="Times New Roman"/>
          <w:sz w:val="20"/>
          <w:szCs w:val="20"/>
        </w:rPr>
        <w:t xml:space="preserve">. 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В рамках реализации принятых программ были созданы основные элементы системы и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ститутов развития в сфере инноваций, включающие:</w:t>
      </w:r>
    </w:p>
    <w:p w:rsidR="00121FAA" w:rsidRPr="00BB0425" w:rsidRDefault="00121FAA" w:rsidP="00121FAA">
      <w:pPr>
        <w:numPr>
          <w:ilvl w:val="0"/>
          <w:numId w:val="2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Фонд содействия развитию малых форм предприятий в научно-технической сф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ре;</w:t>
      </w:r>
    </w:p>
    <w:p w:rsidR="00121FAA" w:rsidRPr="00BB0425" w:rsidRDefault="00121FAA" w:rsidP="00121FAA">
      <w:pPr>
        <w:numPr>
          <w:ilvl w:val="0"/>
          <w:numId w:val="2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венчурные фонды (с государственным участием через ОАО "Российская венчурная комп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ния");</w:t>
      </w:r>
    </w:p>
    <w:p w:rsidR="00121FAA" w:rsidRPr="00BB0425" w:rsidRDefault="00121FAA" w:rsidP="00121FAA">
      <w:pPr>
        <w:numPr>
          <w:ilvl w:val="0"/>
          <w:numId w:val="2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федеральное государственное автономное учреждение "Российский фонд технологическ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>го развития";</w:t>
      </w:r>
    </w:p>
    <w:p w:rsidR="00121FAA" w:rsidRPr="00BB0425" w:rsidRDefault="00121FAA" w:rsidP="00121FAA">
      <w:pPr>
        <w:numPr>
          <w:ilvl w:val="0"/>
          <w:numId w:val="2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государственная корпорация "Банк развития и внешнеэкономической деятельности (Внешэк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номбанк)"; </w:t>
      </w:r>
    </w:p>
    <w:p w:rsidR="00121FAA" w:rsidRPr="00BB0425" w:rsidRDefault="00121FAA" w:rsidP="00121FAA">
      <w:pPr>
        <w:numPr>
          <w:ilvl w:val="0"/>
          <w:numId w:val="2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ОАО "РОСНАНО".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i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Значительные усилия были направлены на стимулирование исследовательской деятельн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>сти и инновационного развития в высшем образовании. Реализована финансовая поддержка инн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вационных программ </w:t>
      </w:r>
      <w:r w:rsidRPr="00BB0425">
        <w:rPr>
          <w:rFonts w:ascii="Times New Roman" w:eastAsia="HiddenHorzOCR" w:hAnsi="Times New Roman"/>
          <w:i/>
          <w:sz w:val="20"/>
          <w:szCs w:val="20"/>
        </w:rPr>
        <w:t>57 вузов (в 2005</w:t>
      </w:r>
      <w:r>
        <w:rPr>
          <w:rFonts w:ascii="Times New Roman" w:eastAsia="HiddenHorzOCR" w:hAnsi="Times New Roman"/>
          <w:i/>
          <w:sz w:val="20"/>
          <w:szCs w:val="20"/>
        </w:rPr>
        <w:t>–</w:t>
      </w:r>
      <w:r w:rsidRPr="00BB0425">
        <w:rPr>
          <w:rFonts w:ascii="Times New Roman" w:eastAsia="HiddenHorzOCR" w:hAnsi="Times New Roman"/>
          <w:i/>
          <w:sz w:val="20"/>
          <w:szCs w:val="20"/>
        </w:rPr>
        <w:t>2008 годах на эти цели было выделено 30 млрд. ру</w:t>
      </w:r>
      <w:r w:rsidRPr="00BB0425">
        <w:rPr>
          <w:rFonts w:ascii="Times New Roman" w:eastAsia="HiddenHorzOCR" w:hAnsi="Times New Roman"/>
          <w:i/>
          <w:sz w:val="20"/>
          <w:szCs w:val="20"/>
        </w:rPr>
        <w:t>б</w:t>
      </w:r>
      <w:r w:rsidRPr="00BB0425">
        <w:rPr>
          <w:rFonts w:ascii="Times New Roman" w:eastAsia="HiddenHorzOCR" w:hAnsi="Times New Roman"/>
          <w:i/>
          <w:sz w:val="20"/>
          <w:szCs w:val="20"/>
        </w:rPr>
        <w:t>лей)</w:t>
      </w:r>
      <w:r w:rsidRPr="00BB0425">
        <w:rPr>
          <w:rFonts w:ascii="Times New Roman" w:eastAsia="HiddenHorzOCR" w:hAnsi="Times New Roman"/>
          <w:sz w:val="20"/>
          <w:szCs w:val="20"/>
        </w:rPr>
        <w:t>. На конкурсной основе 29 университетам был присвоен статус национальных исследовательских ун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>верситетов и выделены средства на реализацию программ развития, включая создание инновац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онной инфраструктуры и развитие исследовательской деятельности </w:t>
      </w:r>
      <w:r w:rsidRPr="00BB0425">
        <w:rPr>
          <w:rFonts w:ascii="Times New Roman" w:eastAsia="HiddenHorzOCR" w:hAnsi="Times New Roman"/>
          <w:i/>
          <w:sz w:val="20"/>
          <w:szCs w:val="20"/>
        </w:rPr>
        <w:t>(в 2009</w:t>
      </w:r>
      <w:r>
        <w:rPr>
          <w:rFonts w:ascii="Times New Roman" w:eastAsia="HiddenHorzOCR" w:hAnsi="Times New Roman"/>
          <w:i/>
          <w:sz w:val="20"/>
          <w:szCs w:val="20"/>
        </w:rPr>
        <w:t>–</w:t>
      </w:r>
      <w:r w:rsidRPr="00BB0425">
        <w:rPr>
          <w:rFonts w:ascii="Times New Roman" w:eastAsia="HiddenHorzOCR" w:hAnsi="Times New Roman"/>
          <w:i/>
          <w:sz w:val="20"/>
          <w:szCs w:val="20"/>
        </w:rPr>
        <w:t>2010 годах на все пр</w:t>
      </w:r>
      <w:r w:rsidRPr="00BB0425">
        <w:rPr>
          <w:rFonts w:ascii="Times New Roman" w:eastAsia="HiddenHorzOCR" w:hAnsi="Times New Roman"/>
          <w:i/>
          <w:sz w:val="20"/>
          <w:szCs w:val="20"/>
        </w:rPr>
        <w:t>о</w:t>
      </w:r>
      <w:r w:rsidRPr="00BB0425">
        <w:rPr>
          <w:rFonts w:ascii="Times New Roman" w:eastAsia="HiddenHorzOCR" w:hAnsi="Times New Roman"/>
          <w:i/>
          <w:sz w:val="20"/>
          <w:szCs w:val="20"/>
        </w:rPr>
        <w:t>граммы развития было выделено 8,42 млрд. рублей).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Казалось бы, проводимые мероприятия должны были бы стать решающим толчком для интенсивного развития науки, образования и, как следствие, инновационного развития экономики. Однако этого не произошло.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Реализация Стратегии развития науки и инноваций в Российской Федерации на период до 2015 года не привела к достижению запланированного уровня ряда индикаторов, связанных, пр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жде всего со спросом на инновации в реальном секторе экономики. Это обусловлено существе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ным снижением в период кризиса спроса на инновации со стороны компаний производстве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ного сектора, а также уменьшением бюджетного финансирования мероприятий федеральной ц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левой программы "Исследования и разработки по приоритетным направлениям развития научно-технологического комплекса России на 2007</w:t>
      </w:r>
      <w:r>
        <w:rPr>
          <w:rFonts w:ascii="Times New Roman" w:eastAsia="HiddenHorzOCR" w:hAnsi="Times New Roman"/>
          <w:sz w:val="20"/>
          <w:szCs w:val="20"/>
        </w:rPr>
        <w:t xml:space="preserve">–2013 годы". 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В целом не удалость переломить ряд значимых для инновационного развития негативных процессов, </w:t>
      </w:r>
      <w:r w:rsidRPr="00BB0425">
        <w:rPr>
          <w:rFonts w:ascii="Times New Roman" w:eastAsia="HiddenHorzOCR" w:hAnsi="Times New Roman"/>
          <w:sz w:val="20"/>
          <w:szCs w:val="20"/>
        </w:rPr>
        <w:lastRenderedPageBreak/>
        <w:t>существенно ускорить интегр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цию российской инновационной системы в мировую и повысить инновационную активность и эффективность работы компаний. 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Государственные средства, выделяемые на научно-исследовательские и опытно-конструкторские работы, в большинстве секторов экономики расходуются недостаточно эффе</w:t>
      </w:r>
      <w:r w:rsidRPr="00BB0425">
        <w:rPr>
          <w:rFonts w:ascii="Times New Roman" w:eastAsia="HiddenHorzOCR" w:hAnsi="Times New Roman"/>
          <w:sz w:val="20"/>
          <w:szCs w:val="20"/>
        </w:rPr>
        <w:t>к</w:t>
      </w:r>
      <w:r w:rsidRPr="00BB0425">
        <w:rPr>
          <w:rFonts w:ascii="Times New Roman" w:eastAsia="HiddenHorzOCR" w:hAnsi="Times New Roman"/>
          <w:sz w:val="20"/>
          <w:szCs w:val="20"/>
        </w:rPr>
        <w:t>тивно</w:t>
      </w:r>
      <w:r w:rsidRPr="00BB0425">
        <w:rPr>
          <w:rStyle w:val="a7"/>
          <w:rFonts w:ascii="Times New Roman" w:eastAsia="HiddenHorzOCR" w:hAnsi="Times New Roman"/>
          <w:sz w:val="20"/>
          <w:szCs w:val="20"/>
        </w:rPr>
        <w:footnoteReference w:id="3"/>
      </w:r>
      <w:r w:rsidRPr="00BB0425">
        <w:rPr>
          <w:rFonts w:ascii="Times New Roman" w:eastAsia="HiddenHorzOCR" w:hAnsi="Times New Roman"/>
          <w:sz w:val="20"/>
          <w:szCs w:val="20"/>
        </w:rPr>
        <w:t xml:space="preserve">. 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Кроме этого, ни частный, ни государственный сектор не проявляют достаточной заинтересованности во внедрении инноваций. Уровень инновационной активности предприятий знач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>те</w:t>
      </w:r>
      <w:r>
        <w:rPr>
          <w:rFonts w:ascii="Times New Roman" w:eastAsia="HiddenHorzOCR" w:hAnsi="Times New Roman"/>
          <w:sz w:val="20"/>
          <w:szCs w:val="20"/>
        </w:rPr>
        <w:t>льно уступает показателям стран-</w:t>
      </w:r>
      <w:r w:rsidRPr="00BB0425">
        <w:rPr>
          <w:rFonts w:ascii="Times New Roman" w:eastAsia="HiddenHorzOCR" w:hAnsi="Times New Roman"/>
          <w:sz w:val="20"/>
          <w:szCs w:val="20"/>
        </w:rPr>
        <w:t>лидеров в этой сфере.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Кроме отставания российских компаний по уровню инновационной активности есть еще и значительные структурные проблемы в организации управления инновациями на уровне орган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>заций. По показателю "Способность компаний к заимствованию и адаптации технологий", рассч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танному Всемирным экономическим форумом, Россия в 2009 году находилась на 41-м месте из 133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на уровне таких стран, как Кипр, КостаРика и Объединенные Арабские Эмираты.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Абсолютное преимущество заимствованных готовых технологий, может характеризовать российскую инновационную систему как ориентированную на имитационный характер, что сч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>тается  наименее передовым типом инновационного поведения.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b/>
          <w:i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Очень скромно выглядят российские компании и на мировых рынках. В 2008 году доля произведенных ими товаров и услуг в общемировых объемах экспорта высокотехнологичной пр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>дукции гражданского назначения составила:</w:t>
      </w:r>
      <w:r w:rsidRPr="00BB0425">
        <w:rPr>
          <w:rFonts w:ascii="Times New Roman" w:eastAsia="HiddenHorzOCR" w:hAnsi="Times New Roman"/>
          <w:b/>
          <w:i/>
          <w:sz w:val="20"/>
          <w:szCs w:val="20"/>
        </w:rPr>
        <w:t xml:space="preserve"> </w:t>
      </w:r>
    </w:p>
    <w:p w:rsidR="00121FAA" w:rsidRPr="00BB0425" w:rsidRDefault="00121FAA" w:rsidP="00121FAA">
      <w:pPr>
        <w:numPr>
          <w:ilvl w:val="0"/>
          <w:numId w:val="3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Россия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0,25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% (в 2003 году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0,45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%)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3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>
        <w:rPr>
          <w:rFonts w:ascii="Times New Roman" w:eastAsia="HiddenHorzOCR" w:hAnsi="Times New Roman"/>
          <w:sz w:val="20"/>
          <w:szCs w:val="20"/>
        </w:rPr>
        <w:t>Китай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16,3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3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Соединенные Штаты</w:t>
      </w:r>
      <w:r>
        <w:rPr>
          <w:rFonts w:ascii="Times New Roman" w:eastAsia="HiddenHorzOCR" w:hAnsi="Times New Roman"/>
          <w:sz w:val="20"/>
          <w:szCs w:val="20"/>
        </w:rPr>
        <w:t xml:space="preserve"> Америки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13,5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3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Германия </w:t>
      </w:r>
      <w:r>
        <w:rPr>
          <w:rFonts w:ascii="Times New Roman" w:eastAsia="HiddenHorzOCR" w:hAnsi="Times New Roman"/>
          <w:sz w:val="20"/>
          <w:szCs w:val="20"/>
        </w:rPr>
        <w:t xml:space="preserve">– </w:t>
      </w:r>
      <w:r w:rsidRPr="00BB0425">
        <w:rPr>
          <w:rFonts w:ascii="Times New Roman" w:eastAsia="HiddenHorzOCR" w:hAnsi="Times New Roman"/>
          <w:sz w:val="20"/>
          <w:szCs w:val="20"/>
        </w:rPr>
        <w:t>7,6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Российские компании тратят на инновации значительно меньше средств, чем их зарубе</w:t>
      </w:r>
      <w:r w:rsidRPr="00BB0425">
        <w:rPr>
          <w:rFonts w:ascii="Times New Roman" w:eastAsia="HiddenHorzOCR" w:hAnsi="Times New Roman"/>
          <w:sz w:val="20"/>
          <w:szCs w:val="20"/>
        </w:rPr>
        <w:t>ж</w:t>
      </w:r>
      <w:r w:rsidRPr="00BB0425">
        <w:rPr>
          <w:rFonts w:ascii="Times New Roman" w:eastAsia="HiddenHorzOCR" w:hAnsi="Times New Roman"/>
          <w:sz w:val="20"/>
          <w:szCs w:val="20"/>
        </w:rPr>
        <w:t>ные конкуренты в соответствующих секторах. В рейтинге тысячи крупнейших компаний мира, осуществляющих исследования и разработки, Россия представлена только тремя компаниями:</w:t>
      </w:r>
    </w:p>
    <w:p w:rsidR="00121FAA" w:rsidRPr="00BB0425" w:rsidRDefault="00121FAA" w:rsidP="00121FAA">
      <w:pPr>
        <w:numPr>
          <w:ilvl w:val="0"/>
          <w:numId w:val="4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ОАО "Газпром" (108-е место по абсолютному объему затрат на исследования и разрабо</w:t>
      </w:r>
      <w:r w:rsidRPr="00BB0425">
        <w:rPr>
          <w:rFonts w:ascii="Times New Roman" w:eastAsia="HiddenHorzOCR" w:hAnsi="Times New Roman"/>
          <w:sz w:val="20"/>
          <w:szCs w:val="20"/>
        </w:rPr>
        <w:t>т</w:t>
      </w:r>
      <w:r w:rsidRPr="00BB0425">
        <w:rPr>
          <w:rFonts w:ascii="Times New Roman" w:eastAsia="HiddenHorzOCR" w:hAnsi="Times New Roman"/>
          <w:sz w:val="20"/>
          <w:szCs w:val="20"/>
        </w:rPr>
        <w:t>ки, доля затрат на иссле</w:t>
      </w:r>
      <w:r>
        <w:rPr>
          <w:rFonts w:ascii="Times New Roman" w:eastAsia="HiddenHorzOCR" w:hAnsi="Times New Roman"/>
          <w:sz w:val="20"/>
          <w:szCs w:val="20"/>
        </w:rPr>
        <w:t>дования и разработки в выручке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0,6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%)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4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ОАО "АВТОВАЗ" (758-е место, 0,8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%)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4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ОАО "СИТРОНИКС" (868-е место, 2,6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%)</w:t>
      </w:r>
      <w:r w:rsidRPr="00BB0425">
        <w:rPr>
          <w:rStyle w:val="a7"/>
          <w:rFonts w:ascii="Times New Roman" w:eastAsia="HiddenHorzOCR" w:hAnsi="Times New Roman"/>
          <w:sz w:val="20"/>
          <w:szCs w:val="20"/>
        </w:rPr>
        <w:footnoteReference w:id="4"/>
      </w:r>
      <w:r w:rsidRPr="00BB0425">
        <w:rPr>
          <w:rFonts w:ascii="Times New Roman" w:eastAsia="HiddenHorzOCR" w:hAnsi="Times New Roman"/>
          <w:sz w:val="20"/>
          <w:szCs w:val="20"/>
        </w:rPr>
        <w:t>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Доля расходов на исследования и разработки в бюджетах компаний лидеров в мировой автомобильной индустрии более чем в 6 раз выше, чем у российских автопроизводителей. Для в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дущих мировых телекоммуникационных компаний соответствующий показатель в 10 раз выше, чем у российского лидера.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Внутренние затраты на исследования и разработки в Российской Федерации (в текущих ценах) неуклонно возрастали с 48 млрд. рублей в 1999 году до 485,8 млрд. рублей в 2009 году </w:t>
      </w:r>
      <w:r>
        <w:rPr>
          <w:rFonts w:ascii="Times New Roman" w:eastAsia="HiddenHorzOCR" w:hAnsi="Times New Roman"/>
          <w:sz w:val="20"/>
          <w:szCs w:val="20"/>
        </w:rPr>
        <w:br/>
      </w:r>
      <w:r w:rsidRPr="00BB0425">
        <w:rPr>
          <w:rFonts w:ascii="Times New Roman" w:eastAsia="HiddenHorzOCR" w:hAnsi="Times New Roman"/>
          <w:sz w:val="20"/>
          <w:szCs w:val="20"/>
        </w:rPr>
        <w:t>(в 2,1 раза в ценах 1999 года).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В итоге Россия входит в десятку ведущих стран мира по общему объему указанных з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трат, хотя существенно отстает по такому показателю, как доля затрат на исследования и разр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ботки в валовом внутреннем продукте Россия значительно ниже ведущих государств:</w:t>
      </w:r>
    </w:p>
    <w:p w:rsidR="00121FAA" w:rsidRPr="00BB0425" w:rsidRDefault="00121FAA" w:rsidP="00121FAA">
      <w:pPr>
        <w:numPr>
          <w:ilvl w:val="0"/>
          <w:numId w:val="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 России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1,25 %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 Израиле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4,27 %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 Финляндии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3,96 %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>
        <w:rPr>
          <w:rFonts w:ascii="Times New Roman" w:eastAsia="HiddenHorzOCR" w:hAnsi="Times New Roman"/>
          <w:sz w:val="20"/>
          <w:szCs w:val="20"/>
        </w:rPr>
        <w:t>в Швеции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3,62 %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 xml:space="preserve">в Германии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2,82 %</w:t>
      </w:r>
      <w:r>
        <w:rPr>
          <w:rFonts w:ascii="Times New Roman" w:eastAsia="HiddenHorzOCR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HiddenHorzOCR" w:hAnsi="Times New Roman"/>
          <w:sz w:val="20"/>
          <w:szCs w:val="20"/>
        </w:rPr>
      </w:pPr>
      <w:r>
        <w:rPr>
          <w:rFonts w:ascii="Times New Roman" w:eastAsia="HiddenHorzOCR" w:hAnsi="Times New Roman"/>
          <w:sz w:val="20"/>
          <w:szCs w:val="20"/>
        </w:rPr>
        <w:t>в Соединенных Штатах Америки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2,79 %. 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По такому показателю, как объем расходов на исследования и разработки в расчете на душу населения, Россия в начале XXI века отставала от всех высокоразвитых государств и многих стран Восточной Европы, однако к концу 10-летия этот разрыв удалось если не преодолеть, то сущес</w:t>
      </w:r>
      <w:r w:rsidRPr="00BB0425">
        <w:rPr>
          <w:rFonts w:ascii="Times New Roman" w:eastAsia="HiddenHorzOCR" w:hAnsi="Times New Roman"/>
          <w:sz w:val="20"/>
          <w:szCs w:val="20"/>
        </w:rPr>
        <w:t>т</w:t>
      </w:r>
      <w:r w:rsidRPr="00BB0425">
        <w:rPr>
          <w:rFonts w:ascii="Times New Roman" w:eastAsia="HiddenHorzOCR" w:hAnsi="Times New Roman"/>
          <w:sz w:val="20"/>
          <w:szCs w:val="20"/>
        </w:rPr>
        <w:t>венно сократить.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По абсолютным масштабам исследовательского сектора Россия по прежнему занимает одно из ведущих мест в мире, уступая лишь Китаю, Соединенным Штатам Америки и Японии. Одн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ко по численности исследователей на 1 тыс. лиц, занятых в экономике, Россия уступает более чем 20 государствам, в том числе Финляндии, Франции, Германии, Соединенным Штатам Амер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ки и Японии. 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Нельзя не отметить, что ситуация остается сложной в связи со сложившимся разрывом поколений, сформировавшимся в российской науке в 1990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>1999 годах, и до сих пор остающимся труднопреодолимым. В 2000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>2010 годах доля ученых в возрасте до 29 лет в общей численности исследователей возрастала. Но вплоть до 2006 года не происходило количественного  роста нау</w:t>
      </w:r>
      <w:r w:rsidRPr="00BB0425">
        <w:rPr>
          <w:rFonts w:ascii="Times New Roman" w:eastAsia="HiddenHorzOCR" w:hAnsi="Times New Roman"/>
          <w:sz w:val="20"/>
          <w:szCs w:val="20"/>
        </w:rPr>
        <w:t>ч</w:t>
      </w:r>
      <w:r w:rsidRPr="00BB0425">
        <w:rPr>
          <w:rFonts w:ascii="Times New Roman" w:eastAsia="HiddenHorzOCR" w:hAnsi="Times New Roman"/>
          <w:sz w:val="20"/>
          <w:szCs w:val="20"/>
        </w:rPr>
        <w:t>ных деятелей в возрастной категории от 30 до 39 лет, что означает неспособность многих исслед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>вательских организаций удержать молодых специалистов. В 2008 году доля ученых в возрасте до 29 лет в общей численности исследователей составила 17,6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%, а в возрасте 30-39 лет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14,2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%. О</w:t>
      </w:r>
      <w:r w:rsidRPr="00BB0425">
        <w:rPr>
          <w:rFonts w:ascii="Times New Roman" w:eastAsia="HiddenHorzOCR" w:hAnsi="Times New Roman"/>
          <w:sz w:val="20"/>
          <w:szCs w:val="20"/>
        </w:rPr>
        <w:t>д</w:t>
      </w:r>
      <w:r w:rsidRPr="00BB0425">
        <w:rPr>
          <w:rFonts w:ascii="Times New Roman" w:eastAsia="HiddenHorzOCR" w:hAnsi="Times New Roman"/>
          <w:sz w:val="20"/>
          <w:szCs w:val="20"/>
        </w:rPr>
        <w:t>новременно доля исследователей в возрасте 60 лет и старше выросла за 8 лет с 20,8 до 25,2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lastRenderedPageBreak/>
        <w:t>Несмотря на выдающиеся успехи отдельных российских ученых, в 2010 году на Россию приходилось всего 2,08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% научных статей, публикуемых в научных журналах, индексируемых в базе данных "Сеть </w:t>
      </w:r>
      <w:r w:rsidRPr="00BB0425">
        <w:rPr>
          <w:rFonts w:ascii="Times New Roman" w:hAnsi="Times New Roman"/>
          <w:sz w:val="20"/>
          <w:szCs w:val="20"/>
        </w:rPr>
        <w:t xml:space="preserve">науки" (Web of Science), тогда как на: </w:t>
      </w:r>
    </w:p>
    <w:p w:rsidR="00121FAA" w:rsidRPr="00BB0425" w:rsidRDefault="00121FAA" w:rsidP="00121FAA">
      <w:pPr>
        <w:numPr>
          <w:ilvl w:val="0"/>
          <w:numId w:val="6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Францию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4,67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6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Германию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6,47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6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Китай –</w:t>
      </w:r>
      <w:r w:rsidRPr="00BB0425">
        <w:rPr>
          <w:rFonts w:ascii="Times New Roman" w:hAnsi="Times New Roman"/>
          <w:sz w:val="20"/>
          <w:szCs w:val="20"/>
        </w:rPr>
        <w:t xml:space="preserve"> 15,08</w:t>
      </w:r>
      <w:r>
        <w:rPr>
          <w:rFonts w:ascii="Times New Roman" w:hAnsi="Times New Roman"/>
          <w:sz w:val="20"/>
          <w:szCs w:val="20"/>
        </w:rPr>
        <w:t> %.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Сохраняется и достаточно низкий уровень цитирования работ российских ученых. В соо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ветствии с базой данных "Сеть науки" (Web of Science) за 2006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2010 годы в среднем на 1 ст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тью, опубликованную российскими авторами (или с их участием), приходилось лишь 2,4 ссылки со ст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роны ученых всего мира. Для сравнения, на 1 статью, опубликованную учеными:</w:t>
      </w:r>
    </w:p>
    <w:p w:rsidR="00121FAA" w:rsidRPr="00BB0425" w:rsidRDefault="00121FAA" w:rsidP="00121FAA">
      <w:pPr>
        <w:numPr>
          <w:ilvl w:val="0"/>
          <w:numId w:val="7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Китая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3,62 ссылки</w:t>
      </w:r>
      <w:r>
        <w:rPr>
          <w:rFonts w:ascii="Times New Roman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7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Японии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5,12 ссылки</w:t>
      </w:r>
      <w:r>
        <w:rPr>
          <w:rFonts w:ascii="Times New Roman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7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Франции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6,38 ссылки</w:t>
      </w:r>
      <w:r>
        <w:rPr>
          <w:rFonts w:ascii="Times New Roman" w:hAnsi="Times New Roman"/>
          <w:sz w:val="20"/>
          <w:szCs w:val="20"/>
        </w:rPr>
        <w:t>;</w:t>
      </w:r>
    </w:p>
    <w:p w:rsidR="00121FAA" w:rsidRPr="00BB0425" w:rsidRDefault="00121FAA" w:rsidP="00121FAA">
      <w:pPr>
        <w:numPr>
          <w:ilvl w:val="0"/>
          <w:numId w:val="7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Германии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6,86 ссылки.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Государственное регулирование предпринимательской деятельности в целом и инновац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онной деятельности в частности пока недостаточно конкурентоспособно. Это видно как из ра</w:t>
      </w:r>
      <w:r w:rsidRPr="00BB0425">
        <w:rPr>
          <w:rFonts w:ascii="Times New Roman" w:hAnsi="Times New Roman"/>
          <w:sz w:val="20"/>
          <w:szCs w:val="20"/>
        </w:rPr>
        <w:t>з</w:t>
      </w:r>
      <w:r w:rsidRPr="00BB0425">
        <w:rPr>
          <w:rFonts w:ascii="Times New Roman" w:hAnsi="Times New Roman"/>
          <w:sz w:val="20"/>
          <w:szCs w:val="20"/>
        </w:rPr>
        <w:t>личного рода рейтингов инвестиционного климата, комфортности ведения бизнеса и наличия а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 xml:space="preserve">министративных барьеров (по оценке интегрального рейтинга "Ведение бизнеса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2012" за 2011 год Россия находится на 120 месте из 183</w:t>
      </w:r>
      <w:r w:rsidRPr="00BB0425">
        <w:rPr>
          <w:rStyle w:val="a7"/>
          <w:rFonts w:ascii="Times New Roman" w:hAnsi="Times New Roman"/>
          <w:sz w:val="20"/>
          <w:szCs w:val="20"/>
        </w:rPr>
        <w:footnoteReference w:id="5"/>
      </w:r>
      <w:r w:rsidRPr="00BB0425">
        <w:rPr>
          <w:rFonts w:ascii="Times New Roman" w:eastAsia="HiddenHorzOCR" w:hAnsi="Times New Roman"/>
          <w:sz w:val="20"/>
          <w:szCs w:val="20"/>
        </w:rPr>
        <w:t>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Такие, неутешительные итоги реализации государственных программ в сфере науки и и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новаций, побудили Правительство РФ к дальнейшим действиям в данном направлении. Распор</w:t>
      </w:r>
      <w:r w:rsidRPr="00BB0425">
        <w:rPr>
          <w:rFonts w:ascii="Times New Roman" w:eastAsia="HiddenHorzOCR" w:hAnsi="Times New Roman"/>
          <w:sz w:val="20"/>
          <w:szCs w:val="20"/>
        </w:rPr>
        <w:t>я</w:t>
      </w:r>
      <w:r w:rsidRPr="00BB0425">
        <w:rPr>
          <w:rFonts w:ascii="Times New Roman" w:eastAsia="HiddenHorzOCR" w:hAnsi="Times New Roman"/>
          <w:sz w:val="20"/>
          <w:szCs w:val="20"/>
        </w:rPr>
        <w:t>жением Правительства Российской Федерации от 8 декабря 2011 г. № 2227-р утверждена «Страт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гия инновационного развития Российской Федерации на период до 2020 года».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Одними из основных целей</w:t>
      </w:r>
      <w:r>
        <w:rPr>
          <w:rFonts w:ascii="Times New Roman" w:eastAsia="HiddenHorzOCR" w:hAnsi="Times New Roman"/>
          <w:sz w:val="20"/>
          <w:szCs w:val="20"/>
        </w:rPr>
        <w:t>,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определенных этим документом, являются:</w:t>
      </w:r>
    </w:p>
    <w:p w:rsidR="00121FAA" w:rsidRPr="00BB0425" w:rsidRDefault="00121FAA" w:rsidP="00121FAA">
      <w:pPr>
        <w:pStyle w:val="a3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повышение внутренних затрат на исследования и разработки до 2,5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3 процентов валового внутреннего продукта к 2020 году (в 2010 году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1,3 процента</w:t>
      </w:r>
      <w:r>
        <w:rPr>
          <w:rFonts w:ascii="Times New Roman" w:eastAsia="HiddenHorzOCR" w:hAnsi="Times New Roman"/>
          <w:sz w:val="20"/>
          <w:szCs w:val="20"/>
        </w:rPr>
        <w:t>), из них больше половины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за счет частного сектора;</w:t>
      </w:r>
    </w:p>
    <w:p w:rsidR="00121FAA" w:rsidRPr="00BB0425" w:rsidRDefault="00121FAA" w:rsidP="00121FAA">
      <w:pPr>
        <w:pStyle w:val="a3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увеличение доли публикаций российских исследователей в общем количестве публикаций в мировых научных журналах до 3 процентов к 2020 году (в 2010 году</w:t>
      </w:r>
      <w:r>
        <w:rPr>
          <w:rFonts w:ascii="Times New Roman" w:eastAsia="HiddenHorzOCR" w:hAnsi="Times New Roman"/>
          <w:sz w:val="20"/>
          <w:szCs w:val="20"/>
        </w:rPr>
        <w:t xml:space="preserve">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2,08 проце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та);</w:t>
      </w:r>
    </w:p>
    <w:p w:rsidR="00121FAA" w:rsidRPr="00BB0425" w:rsidRDefault="00121FAA" w:rsidP="00121FAA">
      <w:pPr>
        <w:pStyle w:val="a3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увеличение количества цитирований в расчете на 1 публикацию российских исследоват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лей в научных журналах, индексируемых в базе данных "Сеть науки" (Web of Science), до 4 сс</w:t>
      </w:r>
      <w:r w:rsidRPr="00BB0425">
        <w:rPr>
          <w:rFonts w:ascii="Times New Roman" w:eastAsia="HiddenHorzOCR" w:hAnsi="Times New Roman"/>
          <w:sz w:val="20"/>
          <w:szCs w:val="20"/>
        </w:rPr>
        <w:t>ы</w:t>
      </w:r>
      <w:r w:rsidRPr="00BB0425">
        <w:rPr>
          <w:rFonts w:ascii="Times New Roman" w:eastAsia="HiddenHorzOCR" w:hAnsi="Times New Roman"/>
          <w:sz w:val="20"/>
          <w:szCs w:val="20"/>
        </w:rPr>
        <w:t>лок к 2020 году (в 2010 году</w:t>
      </w:r>
      <w:r>
        <w:rPr>
          <w:rFonts w:ascii="Times New Roman" w:eastAsia="HiddenHorzOCR" w:hAnsi="Times New Roman"/>
          <w:sz w:val="20"/>
          <w:szCs w:val="20"/>
        </w:rPr>
        <w:t xml:space="preserve">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2,4 ссылки на статью);</w:t>
      </w:r>
    </w:p>
    <w:p w:rsidR="00121FAA" w:rsidRPr="00BB0425" w:rsidRDefault="00121FAA" w:rsidP="00121FAA">
      <w:pPr>
        <w:pStyle w:val="a3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увеличение количества российских вузов, входящих 200 ведущих мировых университетов с</w:t>
      </w:r>
      <w:r w:rsidRPr="00BB0425">
        <w:rPr>
          <w:rFonts w:ascii="Times New Roman" w:eastAsia="HiddenHorzOCR" w:hAnsi="Times New Roman"/>
          <w:sz w:val="20"/>
          <w:szCs w:val="20"/>
        </w:rPr>
        <w:t>о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гласно мировому университетов (Quacquarelli Symonds World University до 4 единиц (в 2010 году 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1 вуз);</w:t>
      </w:r>
    </w:p>
    <w:p w:rsidR="00121FAA" w:rsidRPr="00BB0425" w:rsidRDefault="00121FAA" w:rsidP="00121FAA">
      <w:pPr>
        <w:pStyle w:val="a3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увеличение количества патентов, ежегодно регистрируемых российскими физическими и юр</w:t>
      </w:r>
      <w:r w:rsidRPr="00BB0425">
        <w:rPr>
          <w:rFonts w:ascii="Times New Roman" w:eastAsia="HiddenHorzOCR" w:hAnsi="Times New Roman"/>
          <w:sz w:val="20"/>
          <w:szCs w:val="20"/>
        </w:rPr>
        <w:t>и</w:t>
      </w:r>
      <w:r w:rsidRPr="00BB0425">
        <w:rPr>
          <w:rFonts w:ascii="Times New Roman" w:eastAsia="HiddenHorzOCR" w:hAnsi="Times New Roman"/>
          <w:sz w:val="20"/>
          <w:szCs w:val="20"/>
        </w:rPr>
        <w:t>дическими лицами в патентных ведомствах Европейского союза, Соединенных Штатов Ам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рики и Японии, до 2,5</w:t>
      </w:r>
      <w:r>
        <w:rPr>
          <w:rFonts w:ascii="Times New Roman" w:eastAsia="HiddenHorzOCR" w:hAnsi="Times New Roman"/>
          <w:sz w:val="20"/>
          <w:szCs w:val="20"/>
        </w:rPr>
        <w:t>–</w:t>
      </w:r>
      <w:r w:rsidRPr="00BB0425">
        <w:rPr>
          <w:rFonts w:ascii="Times New Roman" w:eastAsia="HiddenHorzOCR" w:hAnsi="Times New Roman"/>
          <w:sz w:val="20"/>
          <w:szCs w:val="20"/>
        </w:rPr>
        <w:t>3 тыс. патентов к 2020 году (в 2009 году</w:t>
      </w:r>
      <w:r>
        <w:rPr>
          <w:rFonts w:ascii="Times New Roman" w:eastAsia="HiddenHorzOCR" w:hAnsi="Times New Roman"/>
          <w:sz w:val="20"/>
          <w:szCs w:val="20"/>
        </w:rPr>
        <w:t xml:space="preserve"> –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63 патента);</w:t>
      </w:r>
    </w:p>
    <w:p w:rsidR="00121FAA" w:rsidRPr="00BB0425" w:rsidRDefault="00121FAA" w:rsidP="00121FAA">
      <w:pPr>
        <w:pStyle w:val="a3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увеличение доли средств, получаемых за счет выполнения научно-исследовательских и опы</w:t>
      </w:r>
      <w:r w:rsidRPr="00BB0425">
        <w:rPr>
          <w:rFonts w:ascii="Times New Roman" w:eastAsia="HiddenHorzOCR" w:hAnsi="Times New Roman"/>
          <w:sz w:val="20"/>
          <w:szCs w:val="20"/>
        </w:rPr>
        <w:t>т</w:t>
      </w:r>
      <w:r w:rsidRPr="00BB0425">
        <w:rPr>
          <w:rFonts w:ascii="Times New Roman" w:eastAsia="HiddenHorzOCR" w:hAnsi="Times New Roman"/>
          <w:sz w:val="20"/>
          <w:szCs w:val="20"/>
        </w:rPr>
        <w:t>но-конструкторских работ, в структуре средств, поступающих в ведущие российские университ</w:t>
      </w:r>
      <w:r w:rsidRPr="00BB0425">
        <w:rPr>
          <w:rFonts w:ascii="Times New Roman" w:eastAsia="HiddenHorzOCR" w:hAnsi="Times New Roman"/>
          <w:sz w:val="20"/>
          <w:szCs w:val="20"/>
        </w:rPr>
        <w:t>е</w:t>
      </w:r>
      <w:r w:rsidRPr="00BB0425">
        <w:rPr>
          <w:rFonts w:ascii="Times New Roman" w:eastAsia="HiddenHorzOCR" w:hAnsi="Times New Roman"/>
          <w:sz w:val="20"/>
          <w:szCs w:val="20"/>
        </w:rPr>
        <w:t>ты за счет всех источников финансирования, до 25</w:t>
      </w:r>
      <w:r>
        <w:rPr>
          <w:rFonts w:ascii="Times New Roman" w:eastAsia="HiddenHorzOCR" w:hAnsi="Times New Roman"/>
          <w:sz w:val="20"/>
          <w:szCs w:val="20"/>
        </w:rPr>
        <w:t> </w:t>
      </w:r>
      <w:r w:rsidRPr="00BB0425">
        <w:rPr>
          <w:rFonts w:ascii="Times New Roman" w:eastAsia="HiddenHorzOCR" w:hAnsi="Times New Roman"/>
          <w:sz w:val="20"/>
          <w:szCs w:val="20"/>
        </w:rPr>
        <w:t>%)</w:t>
      </w:r>
      <w:r w:rsidRPr="00BB0425">
        <w:rPr>
          <w:rStyle w:val="a7"/>
          <w:rFonts w:ascii="Times New Roman" w:eastAsia="HiddenHorzOCR" w:hAnsi="Times New Roman"/>
          <w:sz w:val="20"/>
          <w:szCs w:val="20"/>
        </w:rPr>
        <w:footnoteReference w:id="6"/>
      </w:r>
      <w:r w:rsidRPr="00BB0425">
        <w:rPr>
          <w:rFonts w:ascii="Times New Roman" w:eastAsia="HiddenHorzOCR" w:hAnsi="Times New Roman"/>
          <w:sz w:val="20"/>
          <w:szCs w:val="20"/>
        </w:rPr>
        <w:t>.</w:t>
      </w:r>
    </w:p>
    <w:p w:rsidR="00121FAA" w:rsidRPr="00BB0425" w:rsidRDefault="00121FAA" w:rsidP="00121FAA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0"/>
          <w:szCs w:val="20"/>
        </w:rPr>
      </w:pPr>
      <w:r w:rsidRPr="00BB0425">
        <w:rPr>
          <w:rFonts w:ascii="Times New Roman" w:eastAsia="HiddenHorzOCR" w:hAnsi="Times New Roman"/>
          <w:sz w:val="20"/>
          <w:szCs w:val="20"/>
        </w:rPr>
        <w:t>В результате проведенного анализа можно подвести некоторые итоги. Стратегической з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дачей развития науки и образования является возвращение России в число ведущих мировых н</w:t>
      </w:r>
      <w:r w:rsidRPr="00BB0425">
        <w:rPr>
          <w:rFonts w:ascii="Times New Roman" w:eastAsia="HiddenHorzOCR" w:hAnsi="Times New Roman"/>
          <w:sz w:val="20"/>
          <w:szCs w:val="20"/>
        </w:rPr>
        <w:t>а</w:t>
      </w:r>
      <w:r w:rsidRPr="00BB0425">
        <w:rPr>
          <w:rFonts w:ascii="Times New Roman" w:eastAsia="HiddenHorzOCR" w:hAnsi="Times New Roman"/>
          <w:sz w:val="20"/>
          <w:szCs w:val="20"/>
        </w:rPr>
        <w:t>учных держав, создание сектора исследований и разработок, способного проводить фундаме</w:t>
      </w:r>
      <w:r w:rsidRPr="00BB0425">
        <w:rPr>
          <w:rFonts w:ascii="Times New Roman" w:eastAsia="HiddenHorzOCR" w:hAnsi="Times New Roman"/>
          <w:sz w:val="20"/>
          <w:szCs w:val="20"/>
        </w:rPr>
        <w:t>н</w:t>
      </w:r>
      <w:r w:rsidRPr="00BB0425">
        <w:rPr>
          <w:rFonts w:ascii="Times New Roman" w:eastAsia="HiddenHorzOCR" w:hAnsi="Times New Roman"/>
          <w:sz w:val="20"/>
          <w:szCs w:val="20"/>
        </w:rPr>
        <w:t>тальные и прикладные исследования по актуальным для мировой экономики и науки и приорите</w:t>
      </w:r>
      <w:r w:rsidRPr="00BB0425">
        <w:rPr>
          <w:rFonts w:ascii="Times New Roman" w:eastAsia="HiddenHorzOCR" w:hAnsi="Times New Roman"/>
          <w:sz w:val="20"/>
          <w:szCs w:val="20"/>
        </w:rPr>
        <w:t>т</w:t>
      </w:r>
      <w:r w:rsidRPr="00BB0425">
        <w:rPr>
          <w:rFonts w:ascii="Times New Roman" w:eastAsia="HiddenHorzOCR" w:hAnsi="Times New Roman"/>
          <w:sz w:val="20"/>
          <w:szCs w:val="20"/>
        </w:rPr>
        <w:t>ным для России направлениям</w:t>
      </w:r>
      <w:r>
        <w:rPr>
          <w:rFonts w:ascii="Times New Roman" w:eastAsia="HiddenHorzOCR" w:hAnsi="Times New Roman"/>
          <w:sz w:val="20"/>
          <w:szCs w:val="20"/>
        </w:rPr>
        <w:t>,</w:t>
      </w:r>
      <w:r w:rsidRPr="00BB0425">
        <w:rPr>
          <w:rFonts w:ascii="Times New Roman" w:eastAsia="HiddenHorzOCR" w:hAnsi="Times New Roman"/>
          <w:sz w:val="20"/>
          <w:szCs w:val="20"/>
        </w:rPr>
        <w:t xml:space="preserve"> востребованным российскими и международными компани</w:t>
      </w:r>
      <w:r w:rsidRPr="00BB0425">
        <w:rPr>
          <w:rFonts w:ascii="Times New Roman" w:eastAsia="HiddenHorzOCR" w:hAnsi="Times New Roman"/>
          <w:sz w:val="20"/>
          <w:szCs w:val="20"/>
        </w:rPr>
        <w:t>я</w:t>
      </w:r>
      <w:r w:rsidRPr="00BB0425">
        <w:rPr>
          <w:rFonts w:ascii="Times New Roman" w:eastAsia="HiddenHorzOCR" w:hAnsi="Times New Roman"/>
          <w:sz w:val="20"/>
          <w:szCs w:val="20"/>
        </w:rPr>
        <w:t>ми.</w:t>
      </w:r>
      <w:r>
        <w:rPr>
          <w:rFonts w:ascii="Times New Roman" w:eastAsia="HiddenHorzOCR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Координация усилий по формированию эффективного сектора исследований и разработок в пе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вую очередь в части создания опережающего научно-технического задела и развития единой и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 xml:space="preserve">фраструктуры. </w:t>
      </w:r>
    </w:p>
    <w:p w:rsidR="00AC152F" w:rsidRDefault="00AC152F"/>
    <w:sectPr w:rsidR="00AC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2F" w:rsidRDefault="00AC152F" w:rsidP="00121FAA">
      <w:pPr>
        <w:spacing w:after="0" w:line="240" w:lineRule="auto"/>
      </w:pPr>
      <w:r>
        <w:separator/>
      </w:r>
    </w:p>
  </w:endnote>
  <w:endnote w:type="continuationSeparator" w:id="1">
    <w:p w:rsidR="00AC152F" w:rsidRDefault="00AC152F" w:rsidP="0012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2F" w:rsidRDefault="00AC152F" w:rsidP="00121FAA">
      <w:pPr>
        <w:spacing w:after="0" w:line="240" w:lineRule="auto"/>
      </w:pPr>
      <w:r>
        <w:separator/>
      </w:r>
    </w:p>
  </w:footnote>
  <w:footnote w:type="continuationSeparator" w:id="1">
    <w:p w:rsidR="00AC152F" w:rsidRDefault="00AC152F" w:rsidP="00121FAA">
      <w:pPr>
        <w:spacing w:after="0" w:line="240" w:lineRule="auto"/>
      </w:pPr>
      <w:r>
        <w:continuationSeparator/>
      </w:r>
    </w:p>
  </w:footnote>
  <w:footnote w:id="2">
    <w:p w:rsidR="00121FAA" w:rsidRDefault="00121FAA" w:rsidP="00121FAA">
      <w:pPr>
        <w:spacing w:after="0" w:line="240" w:lineRule="auto"/>
        <w:jc w:val="both"/>
      </w:pPr>
      <w:r w:rsidRPr="007F727B">
        <w:rPr>
          <w:rStyle w:val="a7"/>
          <w:rFonts w:ascii="Times New Roman" w:hAnsi="Times New Roman"/>
          <w:sz w:val="16"/>
          <w:szCs w:val="16"/>
        </w:rPr>
        <w:footnoteRef/>
      </w:r>
      <w:r w:rsidRPr="007F727B">
        <w:rPr>
          <w:rFonts w:ascii="Times New Roman" w:hAnsi="Times New Roman"/>
          <w:sz w:val="16"/>
          <w:szCs w:val="16"/>
        </w:rPr>
        <w:t xml:space="preserve"> По данным Министерства экономического развития [Электронный ресурс]. – Режим доступа: </w:t>
      </w:r>
      <w:hyperlink r:id="rId1" w:history="1">
        <w:r w:rsidRPr="007F727B">
          <w:rPr>
            <w:rStyle w:val="a4"/>
            <w:rFonts w:ascii="Times New Roman" w:hAnsi="Times New Roman" w:cs="Times New Roman"/>
            <w:sz w:val="16"/>
            <w:szCs w:val="16"/>
          </w:rPr>
          <w:t>http://www.economy.gov.ru</w:t>
        </w:r>
      </w:hyperlink>
      <w:r w:rsidRPr="007F727B">
        <w:rPr>
          <w:rFonts w:ascii="Times New Roman" w:hAnsi="Times New Roman"/>
          <w:sz w:val="16"/>
          <w:szCs w:val="16"/>
        </w:rPr>
        <w:t>.</w:t>
      </w:r>
    </w:p>
  </w:footnote>
  <w:footnote w:id="3">
    <w:p w:rsidR="00121FAA" w:rsidRPr="00F45AAE" w:rsidRDefault="00121FAA" w:rsidP="00121FA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AAE">
        <w:rPr>
          <w:rStyle w:val="a7"/>
          <w:rFonts w:ascii="Times New Roman" w:hAnsi="Times New Roman"/>
          <w:sz w:val="16"/>
          <w:szCs w:val="16"/>
        </w:rPr>
        <w:footnoteRef/>
      </w:r>
      <w:r w:rsidRPr="00F45AAE">
        <w:rPr>
          <w:rFonts w:ascii="Times New Roman" w:hAnsi="Times New Roman"/>
          <w:sz w:val="16"/>
          <w:szCs w:val="16"/>
        </w:rPr>
        <w:t xml:space="preserve"> По данным Министерства экономического развития [Электронный ресурс]. – Режим доступа: </w:t>
      </w:r>
      <w:hyperlink r:id="rId2" w:history="1">
        <w:r w:rsidRPr="00F45AAE">
          <w:rPr>
            <w:rStyle w:val="a4"/>
            <w:rFonts w:ascii="Times New Roman" w:hAnsi="Times New Roman" w:cs="Times New Roman"/>
            <w:sz w:val="16"/>
            <w:szCs w:val="16"/>
          </w:rPr>
          <w:t>http://www.economy.gov.ru</w:t>
        </w:r>
      </w:hyperlink>
      <w:r w:rsidRPr="00F45AAE">
        <w:rPr>
          <w:rFonts w:ascii="Times New Roman" w:hAnsi="Times New Roman"/>
          <w:sz w:val="16"/>
          <w:szCs w:val="16"/>
        </w:rPr>
        <w:t>.</w:t>
      </w:r>
    </w:p>
  </w:footnote>
  <w:footnote w:id="4">
    <w:p w:rsidR="00121FAA" w:rsidRPr="00F45AAE" w:rsidRDefault="00121FAA" w:rsidP="00121FAA">
      <w:pPr>
        <w:pStyle w:val="a5"/>
        <w:rPr>
          <w:sz w:val="16"/>
          <w:szCs w:val="16"/>
        </w:rPr>
      </w:pPr>
      <w:r w:rsidRPr="00F45AAE">
        <w:rPr>
          <w:rStyle w:val="a7"/>
          <w:sz w:val="16"/>
          <w:szCs w:val="16"/>
        </w:rPr>
        <w:footnoteRef/>
      </w:r>
      <w:r w:rsidRPr="00F45AAE">
        <w:rPr>
          <w:sz w:val="16"/>
          <w:szCs w:val="16"/>
        </w:rPr>
        <w:t xml:space="preserve">  Там же.</w:t>
      </w:r>
    </w:p>
  </w:footnote>
  <w:footnote w:id="5">
    <w:p w:rsidR="00121FAA" w:rsidRPr="00914909" w:rsidRDefault="00121FAA" w:rsidP="00121FAA">
      <w:pPr>
        <w:jc w:val="both"/>
        <w:rPr>
          <w:rFonts w:ascii="Times New Roman" w:hAnsi="Times New Roman"/>
          <w:sz w:val="16"/>
          <w:szCs w:val="16"/>
        </w:rPr>
      </w:pPr>
      <w:r w:rsidRPr="00914909">
        <w:rPr>
          <w:rStyle w:val="a7"/>
          <w:rFonts w:ascii="Times New Roman" w:hAnsi="Times New Roman"/>
          <w:sz w:val="16"/>
          <w:szCs w:val="16"/>
        </w:rPr>
        <w:footnoteRef/>
      </w:r>
      <w:r w:rsidRPr="00914909">
        <w:rPr>
          <w:rFonts w:ascii="Times New Roman" w:hAnsi="Times New Roman"/>
          <w:sz w:val="16"/>
          <w:szCs w:val="16"/>
        </w:rPr>
        <w:t xml:space="preserve">  По данным Министерства экономического развития [Электронный ресурс]. – Режим доступа: </w:t>
      </w:r>
      <w:hyperlink r:id="rId3" w:history="1">
        <w:r w:rsidRPr="00914909">
          <w:rPr>
            <w:rStyle w:val="a4"/>
            <w:rFonts w:ascii="Times New Roman" w:hAnsi="Times New Roman" w:cs="Times New Roman"/>
            <w:sz w:val="16"/>
            <w:szCs w:val="16"/>
          </w:rPr>
          <w:t>http://www.economy.gov.ru</w:t>
        </w:r>
      </w:hyperlink>
      <w:r w:rsidRPr="00914909">
        <w:rPr>
          <w:rFonts w:ascii="Times New Roman" w:hAnsi="Times New Roman"/>
          <w:sz w:val="16"/>
          <w:szCs w:val="16"/>
        </w:rPr>
        <w:t>.</w:t>
      </w:r>
    </w:p>
  </w:footnote>
  <w:footnote w:id="6">
    <w:p w:rsidR="00121FAA" w:rsidRPr="00075EC4" w:rsidRDefault="00121FAA" w:rsidP="00121FA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5EC4">
        <w:rPr>
          <w:rStyle w:val="a7"/>
          <w:rFonts w:ascii="Times New Roman" w:hAnsi="Times New Roman"/>
          <w:sz w:val="16"/>
          <w:szCs w:val="16"/>
        </w:rPr>
        <w:footnoteRef/>
      </w:r>
      <w:r w:rsidRPr="00075EC4">
        <w:rPr>
          <w:rFonts w:ascii="Times New Roman" w:hAnsi="Times New Roman"/>
          <w:sz w:val="16"/>
          <w:szCs w:val="16"/>
        </w:rPr>
        <w:t xml:space="preserve">  По данным Министерства экономического развития [Электронный ресурс]. – Режим доступа: </w:t>
      </w:r>
      <w:hyperlink r:id="rId4" w:history="1">
        <w:r w:rsidRPr="00075EC4">
          <w:rPr>
            <w:rStyle w:val="a4"/>
            <w:rFonts w:ascii="Times New Roman" w:hAnsi="Times New Roman" w:cs="Times New Roman"/>
            <w:sz w:val="16"/>
            <w:szCs w:val="16"/>
          </w:rPr>
          <w:t>http://</w:t>
        </w:r>
        <w:r w:rsidRPr="00075EC4">
          <w:rPr>
            <w:rStyle w:val="a4"/>
            <w:rFonts w:ascii="Times New Roman" w:hAnsi="Times New Roman" w:cs="Times New Roman"/>
            <w:sz w:val="16"/>
            <w:szCs w:val="16"/>
          </w:rPr>
          <w:t>www.economy.gov.ru</w:t>
        </w:r>
      </w:hyperlink>
      <w:r w:rsidRPr="00075EC4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FC4"/>
    <w:multiLevelType w:val="hybridMultilevel"/>
    <w:tmpl w:val="D4DEFF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73C9C"/>
    <w:multiLevelType w:val="hybridMultilevel"/>
    <w:tmpl w:val="CCE281EE"/>
    <w:lvl w:ilvl="0" w:tplc="9F3C385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CBB12AB"/>
    <w:multiLevelType w:val="hybridMultilevel"/>
    <w:tmpl w:val="B31E2A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643E6"/>
    <w:multiLevelType w:val="hybridMultilevel"/>
    <w:tmpl w:val="4112C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986C85"/>
    <w:multiLevelType w:val="hybridMultilevel"/>
    <w:tmpl w:val="06D8D7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26537"/>
    <w:multiLevelType w:val="hybridMultilevel"/>
    <w:tmpl w:val="59C2E7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C30E58"/>
    <w:multiLevelType w:val="hybridMultilevel"/>
    <w:tmpl w:val="0A220F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FAA"/>
    <w:rsid w:val="00121FAA"/>
    <w:rsid w:val="00AC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ps">
    <w:name w:val="hps"/>
    <w:basedOn w:val="a0"/>
    <w:rsid w:val="00121FAA"/>
  </w:style>
  <w:style w:type="character" w:styleId="a4">
    <w:name w:val="Hyperlink"/>
    <w:basedOn w:val="a0"/>
    <w:uiPriority w:val="99"/>
    <w:unhideWhenUsed/>
    <w:rsid w:val="00121FAA"/>
    <w:rPr>
      <w:rFonts w:ascii="Tahoma" w:hAnsi="Tahoma" w:cs="Tahoma" w:hint="default"/>
      <w:strike w:val="0"/>
      <w:dstrike w:val="0"/>
      <w:color w:val="303E50"/>
      <w:u w:val="none"/>
      <w:effect w:val="none"/>
    </w:rPr>
  </w:style>
  <w:style w:type="character" w:customStyle="1" w:styleId="shorttext">
    <w:name w:val="short_text"/>
    <w:basedOn w:val="a0"/>
    <w:rsid w:val="00121FAA"/>
  </w:style>
  <w:style w:type="paragraph" w:styleId="a5">
    <w:name w:val="footnote text"/>
    <w:basedOn w:val="a"/>
    <w:link w:val="a6"/>
    <w:uiPriority w:val="99"/>
    <w:semiHidden/>
    <w:unhideWhenUsed/>
    <w:rsid w:val="0012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1F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1F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nomy.gov.ru/" TargetMode="External"/><Relationship Id="rId2" Type="http://schemas.openxmlformats.org/officeDocument/2006/relationships/hyperlink" Target="http://www.economy.gov.ru/" TargetMode="External"/><Relationship Id="rId1" Type="http://schemas.openxmlformats.org/officeDocument/2006/relationships/hyperlink" Target="http://www.economy.gov.ru/" TargetMode="External"/><Relationship Id="rId4" Type="http://schemas.openxmlformats.org/officeDocument/2006/relationships/hyperlink" Target="http://www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1720</Words>
  <Characters>9804</Characters>
  <Application>Microsoft Office Word</Application>
  <DocSecurity>0</DocSecurity>
  <Lines>81</Lines>
  <Paragraphs>23</Paragraphs>
  <ScaleCrop>false</ScaleCrop>
  <Company>ГОУВПО "ТГПИ"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2012-10-24T10:07:00Z</dcterms:created>
  <dcterms:modified xsi:type="dcterms:W3CDTF">2012-10-24T10:07:00Z</dcterms:modified>
</cp:coreProperties>
</file>